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843D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3155CB">
                    <w:t>Общий профиль</w:t>
                  </w:r>
                  <w:r w:rsidRPr="008E6CE8">
                    <w:t>», утв. приказом ректора ОмГА</w:t>
                  </w:r>
                  <w:r w:rsidR="00C37A2C">
                    <w:t xml:space="preserve"> 28</w:t>
                  </w:r>
                  <w:r w:rsidRPr="004F7F7E">
                    <w:t>.0</w:t>
                  </w:r>
                  <w:r w:rsidR="00C37A2C">
                    <w:t>3</w:t>
                  </w:r>
                  <w:r w:rsidRPr="004F7F7E">
                    <w:t>.20</w:t>
                  </w:r>
                  <w:r w:rsidR="00C37A2C">
                    <w:t>22</w:t>
                  </w:r>
                  <w:r w:rsidRPr="004F7F7E">
                    <w:t xml:space="preserve"> № </w:t>
                  </w:r>
                  <w:r w:rsidR="00C37A2C">
                    <w:t>28</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843D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r w:rsidR="00C37A2C">
                    <w:rPr>
                      <w:sz w:val="24"/>
                      <w:szCs w:val="24"/>
                    </w:rPr>
                    <w:t>28</w:t>
                  </w:r>
                  <w:r w:rsidRPr="00C94464">
                    <w:rPr>
                      <w:sz w:val="24"/>
                      <w:szCs w:val="24"/>
                    </w:rPr>
                    <w:t>.</w:t>
                  </w:r>
                  <w:r>
                    <w:rPr>
                      <w:sz w:val="24"/>
                      <w:szCs w:val="24"/>
                    </w:rPr>
                    <w:t>0</w:t>
                  </w:r>
                  <w:r w:rsidR="00C37A2C">
                    <w:rPr>
                      <w:sz w:val="24"/>
                      <w:szCs w:val="24"/>
                    </w:rPr>
                    <w:t>3</w:t>
                  </w:r>
                  <w:r w:rsidRPr="00C94464">
                    <w:rPr>
                      <w:sz w:val="24"/>
                      <w:szCs w:val="24"/>
                    </w:rPr>
                    <w:t>.20</w:t>
                  </w:r>
                  <w:r w:rsidR="00C37A2C">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3155CB">
        <w:rPr>
          <w:rFonts w:eastAsia="Courier New"/>
          <w:b/>
          <w:sz w:val="24"/>
          <w:szCs w:val="24"/>
          <w:lang w:bidi="ru-RU"/>
        </w:rPr>
        <w:t>Общий профиль</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808C4" w:rsidRPr="00B26186" w:rsidRDefault="003808C4" w:rsidP="003808C4">
      <w:pPr>
        <w:widowControl/>
        <w:suppressAutoHyphens/>
        <w:autoSpaceDE/>
        <w:adjustRightInd/>
        <w:jc w:val="center"/>
        <w:rPr>
          <w:rFonts w:eastAsia="SimSun"/>
          <w:kern w:val="2"/>
          <w:sz w:val="24"/>
          <w:szCs w:val="24"/>
          <w:lang w:eastAsia="hi-IN" w:bidi="hi-IN"/>
        </w:rPr>
      </w:pPr>
      <w:r w:rsidRPr="00B26186">
        <w:rPr>
          <w:rFonts w:eastAsia="SimSun"/>
          <w:kern w:val="2"/>
          <w:sz w:val="24"/>
          <w:szCs w:val="24"/>
          <w:lang w:eastAsia="hi-IN" w:bidi="hi-IN"/>
        </w:rPr>
        <w:t xml:space="preserve">заочной формы обучения </w:t>
      </w:r>
      <w:r w:rsidR="00C37A2C">
        <w:rPr>
          <w:rFonts w:eastAsia="SimSun"/>
          <w:kern w:val="2"/>
          <w:sz w:val="24"/>
          <w:szCs w:val="24"/>
          <w:lang w:eastAsia="hi-IN" w:bidi="hi-IN"/>
        </w:rPr>
        <w:t>20</w:t>
      </w:r>
      <w:r w:rsidR="00413F53">
        <w:rPr>
          <w:rFonts w:eastAsia="SimSun"/>
          <w:kern w:val="2"/>
          <w:sz w:val="24"/>
          <w:szCs w:val="24"/>
          <w:lang w:eastAsia="hi-IN" w:bidi="hi-IN"/>
        </w:rPr>
        <w:t>1</w:t>
      </w:r>
      <w:r w:rsidR="00C92F7C">
        <w:rPr>
          <w:rFonts w:eastAsia="SimSun"/>
          <w:kern w:val="2"/>
          <w:sz w:val="24"/>
          <w:szCs w:val="24"/>
          <w:lang w:eastAsia="hi-IN" w:bidi="hi-IN"/>
        </w:rPr>
        <w:t>8</w:t>
      </w:r>
      <w:r w:rsidR="00C37A2C">
        <w:rPr>
          <w:rFonts w:eastAsia="SimSun"/>
          <w:kern w:val="2"/>
          <w:sz w:val="24"/>
          <w:szCs w:val="24"/>
          <w:lang w:eastAsia="hi-IN" w:bidi="hi-IN"/>
        </w:rPr>
        <w:t>/20</w:t>
      </w:r>
      <w:r w:rsidR="00C92F7C">
        <w:rPr>
          <w:rFonts w:eastAsia="SimSun"/>
          <w:kern w:val="2"/>
          <w:sz w:val="24"/>
          <w:szCs w:val="24"/>
          <w:lang w:eastAsia="hi-IN" w:bidi="hi-IN"/>
        </w:rPr>
        <w:t>19</w:t>
      </w:r>
      <w:r w:rsidRPr="00B26186">
        <w:rPr>
          <w:rFonts w:eastAsia="SimSun"/>
          <w:kern w:val="2"/>
          <w:sz w:val="24"/>
          <w:szCs w:val="24"/>
          <w:lang w:eastAsia="hi-IN" w:bidi="hi-IN"/>
        </w:rPr>
        <w:t xml:space="preserve"> года набора соответственно</w:t>
      </w:r>
    </w:p>
    <w:p w:rsidR="003808C4" w:rsidRPr="006E1872" w:rsidRDefault="003808C4" w:rsidP="003808C4">
      <w:pPr>
        <w:widowControl/>
        <w:suppressAutoHyphens/>
        <w:autoSpaceDE/>
        <w:adjustRightInd/>
        <w:jc w:val="center"/>
        <w:rPr>
          <w:rFonts w:eastAsia="SimSun"/>
          <w:kern w:val="2"/>
          <w:sz w:val="24"/>
          <w:szCs w:val="24"/>
          <w:lang w:eastAsia="hi-IN" w:bidi="hi-IN"/>
        </w:rPr>
      </w:pPr>
    </w:p>
    <w:p w:rsidR="003808C4" w:rsidRPr="006E1872" w:rsidRDefault="003808C4" w:rsidP="003808C4">
      <w:pPr>
        <w:widowControl/>
        <w:suppressAutoHyphens/>
        <w:autoSpaceDE/>
        <w:adjustRightInd/>
        <w:rPr>
          <w:rFonts w:eastAsia="SimSun"/>
          <w:b/>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rPr>
          <w:sz w:val="24"/>
          <w:szCs w:val="24"/>
        </w:rPr>
      </w:pPr>
      <w:r w:rsidRPr="006E1872">
        <w:rPr>
          <w:rFonts w:eastAsia="SimSun"/>
          <w:kern w:val="2"/>
          <w:sz w:val="24"/>
          <w:szCs w:val="24"/>
          <w:lang w:eastAsia="hi-IN" w:bidi="hi-IN"/>
        </w:rPr>
        <w:t xml:space="preserve">                                                               </w:t>
      </w:r>
      <w:r w:rsidRPr="006E1872">
        <w:rPr>
          <w:sz w:val="24"/>
          <w:szCs w:val="24"/>
        </w:rPr>
        <w:t>Омск 20</w:t>
      </w:r>
      <w:r w:rsidR="00C37A2C">
        <w:rPr>
          <w:sz w:val="24"/>
          <w:szCs w:val="24"/>
        </w:rPr>
        <w:t>22</w:t>
      </w:r>
    </w:p>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C37A2C" w:rsidRDefault="00C37A2C" w:rsidP="00C37A2C">
      <w:pPr>
        <w:jc w:val="both"/>
        <w:rPr>
          <w:color w:val="000000"/>
          <w:spacing w:val="-3"/>
          <w:sz w:val="24"/>
          <w:szCs w:val="24"/>
          <w:lang w:eastAsia="en-US"/>
        </w:rPr>
      </w:pPr>
      <w:r>
        <w:rPr>
          <w:color w:val="000000"/>
          <w:spacing w:val="-3"/>
          <w:sz w:val="24"/>
          <w:szCs w:val="24"/>
          <w:lang w:eastAsia="en-US"/>
        </w:rPr>
        <w:lastRenderedPageBreak/>
        <w:t>Составитель:</w:t>
      </w:r>
    </w:p>
    <w:p w:rsidR="00C37A2C" w:rsidRDefault="00C37A2C" w:rsidP="00C37A2C">
      <w:pPr>
        <w:jc w:val="both"/>
        <w:rPr>
          <w:color w:val="000000"/>
          <w:spacing w:val="-3"/>
          <w:sz w:val="24"/>
          <w:szCs w:val="24"/>
          <w:lang w:eastAsia="en-US"/>
        </w:rPr>
      </w:pPr>
    </w:p>
    <w:p w:rsidR="00C37A2C" w:rsidRDefault="00C37A2C" w:rsidP="00C37A2C">
      <w:pPr>
        <w:jc w:val="both"/>
        <w:rPr>
          <w:spacing w:val="-3"/>
          <w:sz w:val="24"/>
          <w:szCs w:val="24"/>
          <w:lang w:eastAsia="en-US"/>
        </w:rPr>
      </w:pPr>
      <w:r>
        <w:rPr>
          <w:spacing w:val="-3"/>
          <w:sz w:val="24"/>
          <w:szCs w:val="24"/>
          <w:lang w:eastAsia="en-US"/>
        </w:rPr>
        <w:t>к.э.н., доцент _________________ /С.М. Ильченко /</w:t>
      </w:r>
    </w:p>
    <w:p w:rsidR="00C37A2C" w:rsidRDefault="00C37A2C" w:rsidP="00C37A2C">
      <w:pPr>
        <w:jc w:val="both"/>
        <w:rPr>
          <w:spacing w:val="-3"/>
          <w:sz w:val="24"/>
          <w:szCs w:val="24"/>
          <w:lang w:eastAsia="en-US"/>
        </w:rPr>
      </w:pPr>
    </w:p>
    <w:p w:rsidR="00C37A2C" w:rsidRDefault="00C37A2C" w:rsidP="00C37A2C">
      <w:pPr>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C37A2C" w:rsidRDefault="00C37A2C" w:rsidP="00C37A2C">
      <w:pPr>
        <w:rPr>
          <w:spacing w:val="-3"/>
          <w:sz w:val="24"/>
          <w:szCs w:val="24"/>
          <w:lang w:eastAsia="en-US"/>
        </w:rPr>
      </w:pPr>
      <w:r>
        <w:rPr>
          <w:spacing w:val="-3"/>
          <w:sz w:val="24"/>
          <w:szCs w:val="24"/>
          <w:lang w:eastAsia="en-US"/>
        </w:rPr>
        <w:t>Протокол от 25.03.2022 г.  №  8</w:t>
      </w:r>
    </w:p>
    <w:p w:rsidR="00C37A2C" w:rsidRDefault="00C37A2C" w:rsidP="00C37A2C">
      <w:pPr>
        <w:jc w:val="both"/>
        <w:rPr>
          <w:color w:val="000000"/>
          <w:spacing w:val="-3"/>
          <w:sz w:val="24"/>
          <w:szCs w:val="24"/>
          <w:lang w:eastAsia="en-US"/>
        </w:rPr>
      </w:pPr>
    </w:p>
    <w:p w:rsidR="00C37A2C" w:rsidRDefault="00C37A2C" w:rsidP="00C37A2C">
      <w:pPr>
        <w:jc w:val="both"/>
        <w:rPr>
          <w:spacing w:val="-3"/>
          <w:sz w:val="24"/>
          <w:szCs w:val="24"/>
          <w:lang w:eastAsia="en-US"/>
        </w:rPr>
      </w:pPr>
      <w:r>
        <w:rPr>
          <w:spacing w:val="-3"/>
          <w:sz w:val="24"/>
          <w:szCs w:val="24"/>
          <w:lang w:eastAsia="en-US"/>
        </w:rPr>
        <w:t>Зав. кафедрой к.э.н., доцент_________________ /С.М. Ильченко/</w:t>
      </w: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C37A2C"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sidRPr="00C37A2C">
        <w:rPr>
          <w:bCs/>
          <w:sz w:val="24"/>
          <w:szCs w:val="24"/>
        </w:rPr>
        <w:t>30.11.2015 N 39906</w:t>
      </w:r>
      <w:r w:rsidRPr="00C37A2C">
        <w:rPr>
          <w:sz w:val="24"/>
          <w:szCs w:val="24"/>
        </w:rPr>
        <w:t xml:space="preserve">) (далее - ФГОС ВО, Федеральный государственный образовательный стандарт высшего образования); </w:t>
      </w:r>
    </w:p>
    <w:p w:rsidR="00C37A2C" w:rsidRPr="00C37A2C" w:rsidRDefault="00C37A2C" w:rsidP="00C37A2C">
      <w:pPr>
        <w:ind w:firstLine="709"/>
        <w:jc w:val="both"/>
        <w:rPr>
          <w:sz w:val="24"/>
          <w:szCs w:val="24"/>
        </w:rPr>
      </w:pPr>
      <w:r w:rsidRPr="00C37A2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Рабочая программа дисциплины составлена в соответствии с локальными нормативными актами ЧУ ОО ВО «</w:t>
      </w:r>
      <w:r w:rsidRPr="00C37A2C">
        <w:rPr>
          <w:b/>
          <w:sz w:val="24"/>
          <w:szCs w:val="24"/>
          <w:lang w:eastAsia="en-US"/>
        </w:rPr>
        <w:t>Омская гуманитарная академия</w:t>
      </w:r>
      <w:r w:rsidRPr="00C37A2C">
        <w:rPr>
          <w:sz w:val="24"/>
          <w:szCs w:val="24"/>
          <w:lang w:eastAsia="en-US"/>
        </w:rPr>
        <w:t>» (</w:t>
      </w:r>
      <w:r w:rsidRPr="00C37A2C">
        <w:rPr>
          <w:i/>
          <w:sz w:val="24"/>
          <w:szCs w:val="24"/>
          <w:lang w:eastAsia="en-US"/>
        </w:rPr>
        <w:t>далее – Академия; ОмГА</w:t>
      </w:r>
      <w:r w:rsidRPr="00C37A2C">
        <w:rPr>
          <w:sz w:val="24"/>
          <w:szCs w:val="24"/>
          <w:lang w:eastAsia="en-US"/>
        </w:rPr>
        <w:t>):</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3155CB">
        <w:rPr>
          <w:sz w:val="24"/>
          <w:szCs w:val="24"/>
        </w:rPr>
        <w:t>Общий профиль</w:t>
      </w:r>
      <w:r w:rsidRPr="006E1872">
        <w:rPr>
          <w:sz w:val="24"/>
          <w:szCs w:val="24"/>
        </w:rPr>
        <w:t>»; форма обучения – з</w:t>
      </w:r>
      <w:r>
        <w:rPr>
          <w:sz w:val="24"/>
          <w:szCs w:val="24"/>
        </w:rPr>
        <w:t xml:space="preserve">аочная на </w:t>
      </w:r>
      <w:r w:rsidR="00C37A2C" w:rsidRPr="0097668F">
        <w:rPr>
          <w:sz w:val="24"/>
          <w:szCs w:val="24"/>
          <w:lang w:eastAsia="en-US"/>
        </w:rPr>
        <w:t>20</w:t>
      </w:r>
      <w:r w:rsidR="00C37A2C">
        <w:rPr>
          <w:sz w:val="24"/>
          <w:szCs w:val="24"/>
          <w:lang w:eastAsia="en-US"/>
        </w:rPr>
        <w:t>22</w:t>
      </w:r>
      <w:r w:rsidR="00C37A2C" w:rsidRPr="0097668F">
        <w:rPr>
          <w:sz w:val="24"/>
          <w:szCs w:val="24"/>
          <w:lang w:eastAsia="en-US"/>
        </w:rPr>
        <w:t>/20</w:t>
      </w:r>
      <w:r w:rsidR="00C37A2C">
        <w:rPr>
          <w:sz w:val="24"/>
          <w:szCs w:val="24"/>
          <w:lang w:eastAsia="en-US"/>
        </w:rPr>
        <w:t>23</w:t>
      </w:r>
      <w:r w:rsidR="00C37A2C" w:rsidRPr="0097668F">
        <w:rPr>
          <w:sz w:val="24"/>
          <w:szCs w:val="24"/>
          <w:lang w:eastAsia="en-US"/>
        </w:rPr>
        <w:t xml:space="preserve"> учебный год,</w:t>
      </w:r>
      <w:r w:rsidR="00C37A2C" w:rsidRPr="0097668F">
        <w:rPr>
          <w:sz w:val="24"/>
          <w:szCs w:val="24"/>
        </w:rPr>
        <w:t xml:space="preserve"> </w:t>
      </w:r>
      <w:r w:rsidR="00C37A2C" w:rsidRPr="0097668F">
        <w:rPr>
          <w:sz w:val="24"/>
          <w:szCs w:val="24"/>
          <w:lang w:eastAsia="en-US"/>
        </w:rPr>
        <w:t xml:space="preserve">утвержденным приказом ректора от </w:t>
      </w:r>
      <w:r w:rsidR="00C37A2C">
        <w:rPr>
          <w:sz w:val="24"/>
          <w:szCs w:val="24"/>
          <w:lang w:eastAsia="en-US"/>
        </w:rPr>
        <w:t>28</w:t>
      </w:r>
      <w:r w:rsidR="00C37A2C" w:rsidRPr="0097668F">
        <w:rPr>
          <w:sz w:val="24"/>
          <w:szCs w:val="24"/>
          <w:lang w:eastAsia="en-US"/>
        </w:rPr>
        <w:t>.0</w:t>
      </w:r>
      <w:r w:rsidR="00C37A2C">
        <w:rPr>
          <w:sz w:val="24"/>
          <w:szCs w:val="24"/>
          <w:lang w:eastAsia="en-US"/>
        </w:rPr>
        <w:t>3</w:t>
      </w:r>
      <w:r w:rsidR="00C37A2C" w:rsidRPr="0097668F">
        <w:rPr>
          <w:sz w:val="24"/>
          <w:szCs w:val="24"/>
          <w:lang w:eastAsia="en-US"/>
        </w:rPr>
        <w:t>.20</w:t>
      </w:r>
      <w:r w:rsidR="00C37A2C">
        <w:rPr>
          <w:sz w:val="24"/>
          <w:szCs w:val="24"/>
          <w:lang w:eastAsia="en-US"/>
        </w:rPr>
        <w:t>22</w:t>
      </w:r>
      <w:r w:rsidR="00C37A2C" w:rsidRPr="0097668F">
        <w:rPr>
          <w:sz w:val="24"/>
          <w:szCs w:val="24"/>
          <w:lang w:eastAsia="en-US"/>
        </w:rPr>
        <w:t xml:space="preserve"> № </w:t>
      </w:r>
      <w:r w:rsidR="00C37A2C">
        <w:rPr>
          <w:sz w:val="24"/>
          <w:szCs w:val="24"/>
          <w:lang w:eastAsia="en-US"/>
        </w:rPr>
        <w:t>28</w:t>
      </w:r>
      <w:r w:rsidRPr="006E1872">
        <w:rPr>
          <w:sz w:val="24"/>
          <w:szCs w:val="24"/>
          <w:lang w:eastAsia="en-US"/>
        </w:rPr>
        <w:t>.</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C37A2C">
        <w:rPr>
          <w:b/>
          <w:sz w:val="24"/>
          <w:szCs w:val="24"/>
        </w:rPr>
        <w:t>22</w:t>
      </w:r>
      <w:r w:rsidRPr="000B40A9">
        <w:rPr>
          <w:b/>
          <w:sz w:val="24"/>
          <w:szCs w:val="24"/>
        </w:rPr>
        <w:t>/20</w:t>
      </w:r>
      <w:r w:rsidR="00C37A2C">
        <w:rPr>
          <w:b/>
          <w:sz w:val="24"/>
          <w:szCs w:val="24"/>
        </w:rPr>
        <w:t>23</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3155CB">
        <w:rPr>
          <w:rFonts w:eastAsia="Courier New"/>
          <w:b/>
          <w:color w:val="000000"/>
          <w:sz w:val="24"/>
          <w:szCs w:val="24"/>
          <w:lang w:bidi="ru-RU"/>
        </w:rPr>
        <w:t>Общий профиль</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C37A2C">
        <w:rPr>
          <w:sz w:val="24"/>
          <w:szCs w:val="24"/>
        </w:rPr>
        <w:t>22</w:t>
      </w:r>
      <w:r w:rsidRPr="000B40A9">
        <w:rPr>
          <w:sz w:val="24"/>
          <w:szCs w:val="24"/>
        </w:rPr>
        <w:t>/20</w:t>
      </w:r>
      <w:r w:rsidR="00C37A2C">
        <w:rPr>
          <w:sz w:val="24"/>
          <w:szCs w:val="24"/>
        </w:rPr>
        <w:t>23</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3155CB">
        <w:rPr>
          <w:rFonts w:eastAsia="Courier New"/>
          <w:b/>
          <w:color w:val="000000"/>
          <w:sz w:val="24"/>
          <w:szCs w:val="24"/>
          <w:lang w:bidi="ru-RU"/>
        </w:rPr>
        <w:t>Общий профиль</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действующей нормативно-</w:t>
            </w:r>
            <w:r w:rsidR="00F179C6" w:rsidRPr="00F179C6">
              <w:rPr>
                <w:sz w:val="24"/>
                <w:szCs w:val="24"/>
              </w:rPr>
              <w:lastRenderedPageBreak/>
              <w:t>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lastRenderedPageBreak/>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lastRenderedPageBreak/>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rPr>
            </w:pPr>
            <w:r w:rsidRPr="0015099A">
              <w:rPr>
                <w:rFonts w:ascii="Times New Roman" w:hAnsi="Times New Roman"/>
                <w:b w:val="0"/>
                <w:i w:val="0"/>
                <w:color w:val="000000"/>
                <w:sz w:val="24"/>
                <w:szCs w:val="24"/>
              </w:rPr>
              <w:t>Тема 5. 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t xml:space="preserve">Тема 6. </w:t>
            </w:r>
            <w:r w:rsidRPr="006E29B2">
              <w:rPr>
                <w:sz w:val="24"/>
                <w:szCs w:val="24"/>
              </w:rPr>
              <w:t xml:space="preserve">Рынок и его структура, конкуренция и ее </w:t>
            </w:r>
            <w:r w:rsidRPr="006E29B2">
              <w:rPr>
                <w:sz w:val="24"/>
                <w:szCs w:val="24"/>
              </w:rPr>
              <w:lastRenderedPageBreak/>
              <w:t>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rPr>
            </w:pPr>
            <w:r w:rsidRPr="008B5000">
              <w:rPr>
                <w:rFonts w:ascii="Times New Roman" w:hAnsi="Times New Roman"/>
                <w:b w:val="0"/>
                <w:i w:val="0"/>
                <w:color w:val="000000"/>
                <w:sz w:val="24"/>
                <w:szCs w:val="24"/>
              </w:rPr>
              <w:t>Тема 5. 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lastRenderedPageBreak/>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lastRenderedPageBreak/>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 xml:space="preserve">соответствии с Федеральным </w:t>
      </w:r>
      <w:r w:rsidRPr="00F377E7">
        <w:rPr>
          <w:sz w:val="15"/>
          <w:szCs w:val="15"/>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a9"/>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a9"/>
        <w:ind w:firstLine="709"/>
        <w:jc w:val="both"/>
      </w:pPr>
      <w:r>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a9"/>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lastRenderedPageBreak/>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a9"/>
        <w:ind w:firstLine="708"/>
      </w:pPr>
      <w:r w:rsidRPr="00077406">
        <w:t>Натуральное и рыночное хозяйство. Модели товарного производства.</w:t>
      </w:r>
    </w:p>
    <w:p w:rsidR="009F6A22" w:rsidRPr="00077406" w:rsidRDefault="009F6A22" w:rsidP="009F6A22">
      <w:pPr>
        <w:pStyle w:val="a9"/>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a9"/>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a9"/>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a9"/>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a9"/>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a9"/>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a9"/>
        <w:ind w:firstLine="708"/>
        <w:jc w:val="both"/>
      </w:pPr>
      <w:r w:rsidRPr="00A401E3">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a9"/>
        <w:ind w:firstLine="708"/>
        <w:jc w:val="both"/>
      </w:pPr>
      <w:r w:rsidRPr="00A401E3">
        <w:t xml:space="preserve">Совершенная конкуренция. Монополистическая конкуренция. Олигополия. </w:t>
      </w:r>
      <w:r w:rsidRPr="00A401E3">
        <w:lastRenderedPageBreak/>
        <w:t>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a9"/>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a9"/>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a9"/>
        <w:ind w:firstLine="708"/>
        <w:jc w:val="both"/>
      </w:pPr>
      <w:r w:rsidRPr="00361857">
        <w:t>Особенности рынков факторов производства. Производный спрос.</w:t>
      </w:r>
    </w:p>
    <w:p w:rsidR="009F6A22" w:rsidRPr="00361857" w:rsidRDefault="009F6A22" w:rsidP="009F6A22">
      <w:pPr>
        <w:pStyle w:val="a9"/>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a9"/>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a9"/>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a9"/>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a9"/>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a9"/>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a9"/>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rPr>
      </w:pPr>
    </w:p>
    <w:p w:rsidR="009F6A22" w:rsidRDefault="009F6A22" w:rsidP="009F6A22">
      <w:pPr>
        <w:pStyle w:val="2"/>
        <w:spacing w:before="0" w:after="0"/>
        <w:jc w:val="both"/>
        <w:rPr>
          <w:rFonts w:ascii="Times New Roman" w:hAnsi="Times New Roman"/>
          <w:i w:val="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Издержки производства. Постоянные и переменные издержки</w:t>
      </w:r>
      <w:r w:rsidRPr="00560EC6">
        <w:rPr>
          <w:rFonts w:ascii="Times New Roman" w:hAnsi="Times New Roman"/>
          <w:i w:val="0"/>
          <w:sz w:val="24"/>
          <w:szCs w:val="24"/>
        </w:rPr>
        <w:t xml:space="preserve"> </w:t>
      </w:r>
    </w:p>
    <w:p w:rsidR="009F6A22" w:rsidRPr="006B5D1E" w:rsidRDefault="009F6A22" w:rsidP="009F6A22"/>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t xml:space="preserve">Средние и предельные издержки. Минимизация издержек в краткосрочном и </w:t>
      </w:r>
      <w:r w:rsidRPr="006B5D1E">
        <w:rPr>
          <w:sz w:val="24"/>
          <w:szCs w:val="24"/>
        </w:rPr>
        <w:lastRenderedPageBreak/>
        <w:t>долгосрочном периодах. Оптимальный размер предприятия (фирмы).</w:t>
      </w:r>
    </w:p>
    <w:p w:rsidR="009F6A22" w:rsidRPr="006B5D1E" w:rsidRDefault="009F6A22" w:rsidP="009F6A22">
      <w:pPr>
        <w:ind w:firstLine="708"/>
        <w:jc w:val="both"/>
        <w:rPr>
          <w:sz w:val="24"/>
          <w:szCs w:val="24"/>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a9"/>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a9"/>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a9"/>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 xml:space="preserve">Микроэкономика в 2 т. Т. 1. Теория потребительского поведения. </w:t>
      </w:r>
      <w:r w:rsidRPr="001F7531">
        <w:rPr>
          <w:sz w:val="24"/>
          <w:szCs w:val="24"/>
          <w:shd w:val="clear" w:color="auto" w:fill="FFFFFF"/>
        </w:rPr>
        <w:lastRenderedPageBreak/>
        <w:t>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4843DA">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4843DA">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4843DA">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4843DA">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4843DA">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4843DA">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4843DA">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4843DA">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4843DA">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4843DA">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4843DA">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6C1EAB">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4843DA">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4843DA">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4843DA">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4843DA">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41" w:history="1">
        <w:r w:rsidR="004843DA">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4843DA">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4843D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w:t>
      </w:r>
      <w:r w:rsidRPr="00793E1B">
        <w:rPr>
          <w:color w:val="000000"/>
          <w:sz w:val="24"/>
          <w:szCs w:val="24"/>
        </w:rPr>
        <w:lastRenderedPageBreak/>
        <w:t>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793E1B">
        <w:rPr>
          <w:color w:val="000000"/>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w:t>
      </w:r>
      <w:r w:rsidRPr="00793E1B">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4843DA">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4843DA">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4843D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4843D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4843D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4843DA">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4843DA">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База данных Всемирного банка - Открытые данные -</w:t>
      </w:r>
      <w:hyperlink r:id="rId53" w:history="1">
        <w:r w:rsidR="004843DA">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4843DA">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1EA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EF504F">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6C1EA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1EAB">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9DF" w:rsidRDefault="00AF49DF" w:rsidP="00160BC1">
      <w:r>
        <w:separator/>
      </w:r>
    </w:p>
  </w:endnote>
  <w:endnote w:type="continuationSeparator" w:id="0">
    <w:p w:rsidR="00AF49DF" w:rsidRDefault="00AF49D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9DF" w:rsidRDefault="00AF49DF" w:rsidP="00160BC1">
      <w:r>
        <w:separator/>
      </w:r>
    </w:p>
  </w:footnote>
  <w:footnote w:type="continuationSeparator" w:id="0">
    <w:p w:rsidR="00AF49DF" w:rsidRDefault="00AF49D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19A1"/>
    <w:rsid w:val="002B3D83"/>
    <w:rsid w:val="002B5AB9"/>
    <w:rsid w:val="002B6C87"/>
    <w:rsid w:val="002B72DF"/>
    <w:rsid w:val="002B734E"/>
    <w:rsid w:val="002C2BC1"/>
    <w:rsid w:val="002C2EAE"/>
    <w:rsid w:val="002C3F08"/>
    <w:rsid w:val="002C7582"/>
    <w:rsid w:val="002D656E"/>
    <w:rsid w:val="002D682D"/>
    <w:rsid w:val="002D6AC0"/>
    <w:rsid w:val="002E4CB7"/>
    <w:rsid w:val="00310F54"/>
    <w:rsid w:val="003124E6"/>
    <w:rsid w:val="003142D6"/>
    <w:rsid w:val="00314D9B"/>
    <w:rsid w:val="003155CB"/>
    <w:rsid w:val="00315AB7"/>
    <w:rsid w:val="0032166A"/>
    <w:rsid w:val="00323E55"/>
    <w:rsid w:val="00330957"/>
    <w:rsid w:val="0033546E"/>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D34F6"/>
    <w:rsid w:val="003D47C6"/>
    <w:rsid w:val="003E0A73"/>
    <w:rsid w:val="003E3EB6"/>
    <w:rsid w:val="003F1B89"/>
    <w:rsid w:val="003F67E4"/>
    <w:rsid w:val="00400491"/>
    <w:rsid w:val="00407242"/>
    <w:rsid w:val="00407404"/>
    <w:rsid w:val="004110F5"/>
    <w:rsid w:val="00413F53"/>
    <w:rsid w:val="00415EB7"/>
    <w:rsid w:val="00425DE1"/>
    <w:rsid w:val="00433087"/>
    <w:rsid w:val="00435249"/>
    <w:rsid w:val="00446595"/>
    <w:rsid w:val="004477B1"/>
    <w:rsid w:val="00455797"/>
    <w:rsid w:val="0046365B"/>
    <w:rsid w:val="0047224A"/>
    <w:rsid w:val="00472682"/>
    <w:rsid w:val="0047572F"/>
    <w:rsid w:val="0047633A"/>
    <w:rsid w:val="00477D51"/>
    <w:rsid w:val="0048300E"/>
    <w:rsid w:val="004843DA"/>
    <w:rsid w:val="00491975"/>
    <w:rsid w:val="0049217A"/>
    <w:rsid w:val="004960CB"/>
    <w:rsid w:val="004A2C0D"/>
    <w:rsid w:val="004A2E62"/>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7E06"/>
    <w:rsid w:val="006229C2"/>
    <w:rsid w:val="00624E28"/>
    <w:rsid w:val="00641D51"/>
    <w:rsid w:val="00642A2F"/>
    <w:rsid w:val="006439F4"/>
    <w:rsid w:val="00652206"/>
    <w:rsid w:val="0065477D"/>
    <w:rsid w:val="0065606F"/>
    <w:rsid w:val="00656AC4"/>
    <w:rsid w:val="006670E9"/>
    <w:rsid w:val="00675030"/>
    <w:rsid w:val="00676914"/>
    <w:rsid w:val="00687B3A"/>
    <w:rsid w:val="00692DD7"/>
    <w:rsid w:val="006A3BFF"/>
    <w:rsid w:val="006B0CA3"/>
    <w:rsid w:val="006B5D1E"/>
    <w:rsid w:val="006C1EAB"/>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1B01"/>
    <w:rsid w:val="007B2F12"/>
    <w:rsid w:val="007C277B"/>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51F6B"/>
    <w:rsid w:val="009528CA"/>
    <w:rsid w:val="00954CA4"/>
    <w:rsid w:val="00954E45"/>
    <w:rsid w:val="00965998"/>
    <w:rsid w:val="00986A74"/>
    <w:rsid w:val="009877FF"/>
    <w:rsid w:val="009A30F0"/>
    <w:rsid w:val="009D1B0D"/>
    <w:rsid w:val="009E22F4"/>
    <w:rsid w:val="009E35D2"/>
    <w:rsid w:val="009E4B0A"/>
    <w:rsid w:val="009E7404"/>
    <w:rsid w:val="009F3F08"/>
    <w:rsid w:val="009F4070"/>
    <w:rsid w:val="009F6A22"/>
    <w:rsid w:val="009F79A8"/>
    <w:rsid w:val="00A00E3F"/>
    <w:rsid w:val="00A0400E"/>
    <w:rsid w:val="00A21A70"/>
    <w:rsid w:val="00A2515D"/>
    <w:rsid w:val="00A275E4"/>
    <w:rsid w:val="00A32A5F"/>
    <w:rsid w:val="00A3569C"/>
    <w:rsid w:val="00A401E3"/>
    <w:rsid w:val="00A43617"/>
    <w:rsid w:val="00A44F9E"/>
    <w:rsid w:val="00A47351"/>
    <w:rsid w:val="00A567CD"/>
    <w:rsid w:val="00A56C5E"/>
    <w:rsid w:val="00A611FB"/>
    <w:rsid w:val="00A628C6"/>
    <w:rsid w:val="00A63D90"/>
    <w:rsid w:val="00A74C95"/>
    <w:rsid w:val="00A75675"/>
    <w:rsid w:val="00A76E53"/>
    <w:rsid w:val="00A83EBD"/>
    <w:rsid w:val="00A9607B"/>
    <w:rsid w:val="00A96677"/>
    <w:rsid w:val="00A96C48"/>
    <w:rsid w:val="00AA0C7A"/>
    <w:rsid w:val="00AA2A29"/>
    <w:rsid w:val="00AA3B0A"/>
    <w:rsid w:val="00AB1410"/>
    <w:rsid w:val="00AB2091"/>
    <w:rsid w:val="00AB65E8"/>
    <w:rsid w:val="00AD0669"/>
    <w:rsid w:val="00AD208A"/>
    <w:rsid w:val="00AD2BF9"/>
    <w:rsid w:val="00AD4A3C"/>
    <w:rsid w:val="00AD531F"/>
    <w:rsid w:val="00AE3177"/>
    <w:rsid w:val="00AE39C7"/>
    <w:rsid w:val="00AF2DDD"/>
    <w:rsid w:val="00AF49DF"/>
    <w:rsid w:val="00AF61EB"/>
    <w:rsid w:val="00B01E10"/>
    <w:rsid w:val="00B04D3B"/>
    <w:rsid w:val="00B12803"/>
    <w:rsid w:val="00B14050"/>
    <w:rsid w:val="00B43F9B"/>
    <w:rsid w:val="00B44FF6"/>
    <w:rsid w:val="00B5209B"/>
    <w:rsid w:val="00B52503"/>
    <w:rsid w:val="00B542D4"/>
    <w:rsid w:val="00B54421"/>
    <w:rsid w:val="00B57718"/>
    <w:rsid w:val="00B642B8"/>
    <w:rsid w:val="00B65F2D"/>
    <w:rsid w:val="00B817E2"/>
    <w:rsid w:val="00BA0C35"/>
    <w:rsid w:val="00BA42F6"/>
    <w:rsid w:val="00BB565F"/>
    <w:rsid w:val="00BB6C9A"/>
    <w:rsid w:val="00BB70FB"/>
    <w:rsid w:val="00BD4AC0"/>
    <w:rsid w:val="00BE023D"/>
    <w:rsid w:val="00BE02F1"/>
    <w:rsid w:val="00BF22FC"/>
    <w:rsid w:val="00BF288B"/>
    <w:rsid w:val="00BF2AAA"/>
    <w:rsid w:val="00BF411E"/>
    <w:rsid w:val="00BF41EE"/>
    <w:rsid w:val="00C05610"/>
    <w:rsid w:val="00C07B84"/>
    <w:rsid w:val="00C1245E"/>
    <w:rsid w:val="00C14D2D"/>
    <w:rsid w:val="00C228C5"/>
    <w:rsid w:val="00C24EA8"/>
    <w:rsid w:val="00C26026"/>
    <w:rsid w:val="00C33468"/>
    <w:rsid w:val="00C3475E"/>
    <w:rsid w:val="00C37A2C"/>
    <w:rsid w:val="00C40C06"/>
    <w:rsid w:val="00C552A6"/>
    <w:rsid w:val="00C55E91"/>
    <w:rsid w:val="00C70CA1"/>
    <w:rsid w:val="00C90A7A"/>
    <w:rsid w:val="00C92478"/>
    <w:rsid w:val="00C92F7C"/>
    <w:rsid w:val="00C93767"/>
    <w:rsid w:val="00C93F61"/>
    <w:rsid w:val="00C94464"/>
    <w:rsid w:val="00C953C9"/>
    <w:rsid w:val="00CA15A4"/>
    <w:rsid w:val="00CA2F1F"/>
    <w:rsid w:val="00CA401A"/>
    <w:rsid w:val="00CA4A8F"/>
    <w:rsid w:val="00CB2393"/>
    <w:rsid w:val="00CB27ED"/>
    <w:rsid w:val="00CB61D6"/>
    <w:rsid w:val="00CC4EED"/>
    <w:rsid w:val="00CC5ECA"/>
    <w:rsid w:val="00CD3E2C"/>
    <w:rsid w:val="00CD44E7"/>
    <w:rsid w:val="00CD4FDF"/>
    <w:rsid w:val="00CD7F10"/>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C0BC3"/>
    <w:rsid w:val="00ED28E4"/>
    <w:rsid w:val="00ED72FE"/>
    <w:rsid w:val="00ED789C"/>
    <w:rsid w:val="00EE165B"/>
    <w:rsid w:val="00EE4D57"/>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5A20"/>
    <w:rsid w:val="00F77FF4"/>
    <w:rsid w:val="00F8007A"/>
    <w:rsid w:val="00F803A3"/>
    <w:rsid w:val="00F878F6"/>
    <w:rsid w:val="00F9165D"/>
    <w:rsid w:val="00F93779"/>
    <w:rsid w:val="00F96A96"/>
    <w:rsid w:val="00F96CA4"/>
    <w:rsid w:val="00F96CC6"/>
    <w:rsid w:val="00FA5C55"/>
    <w:rsid w:val="00FB05DD"/>
    <w:rsid w:val="00FB15A7"/>
    <w:rsid w:val="00FB3DFD"/>
    <w:rsid w:val="00FC178C"/>
    <w:rsid w:val="00FC306B"/>
    <w:rsid w:val="00FD299E"/>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2">
    <w:name w:val="Strong"/>
    <w:uiPriority w:val="22"/>
    <w:qFormat/>
    <w:rsid w:val="00433087"/>
    <w:rPr>
      <w:b/>
      <w:bCs/>
    </w:rPr>
  </w:style>
  <w:style w:type="character" w:styleId="af3">
    <w:name w:val="FollowedHyperlink"/>
    <w:uiPriority w:val="99"/>
    <w:semiHidden/>
    <w:unhideWhenUsed/>
    <w:rsid w:val="00EF60CA"/>
    <w:rPr>
      <w:color w:val="800080"/>
      <w:u w:val="single"/>
    </w:rPr>
  </w:style>
  <w:style w:type="character" w:styleId="af4">
    <w:name w:val="Unresolved Mention"/>
    <w:basedOn w:val="a0"/>
    <w:uiPriority w:val="99"/>
    <w:semiHidden/>
    <w:unhideWhenUsed/>
    <w:rsid w:val="006C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1908609395">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AE12-79D7-4DD7-BE0C-05BA5352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57450</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cp:revision>
  <cp:lastPrinted>2018-05-16T03:18:00Z</cp:lastPrinted>
  <dcterms:created xsi:type="dcterms:W3CDTF">2019-02-28T07:11:00Z</dcterms:created>
  <dcterms:modified xsi:type="dcterms:W3CDTF">2022-11-12T12:09:00Z</dcterms:modified>
</cp:coreProperties>
</file>